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A" w:rsidRDefault="00EC31AA" w:rsidP="00EC31AA">
      <w:pPr>
        <w:pStyle w:val="2"/>
        <w:spacing w:before="0" w:after="255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Указ Президента РФ от 29 июня 2018 г. № 378 “О Национальном плане противодействия коррупции на 2018 - 2020 годы”</w:t>
      </w:r>
    </w:p>
    <w:p w:rsidR="00EC31AA" w:rsidRDefault="00EC31AA" w:rsidP="00EC31A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июля 2018</w:t>
      </w:r>
      <w:bookmarkStart w:id="0" w:name="_GoBack"/>
      <w:bookmarkEnd w:id="0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bookmarkStart w:id="1" w:name="0"/>
      <w:bookmarkEnd w:id="1"/>
      <w:r>
        <w:rPr>
          <w:rFonts w:ascii="Arial" w:hAnsi="Arial" w:cs="Arial"/>
          <w:color w:val="000000"/>
          <w:sz w:val="21"/>
          <w:szCs w:val="21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Утвердить прилагаемый </w:t>
      </w:r>
      <w:hyperlink r:id="rId6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Национальный план</w:t>
        </w:r>
      </w:hyperlink>
      <w:r>
        <w:rPr>
          <w:rFonts w:ascii="Arial" w:hAnsi="Arial" w:cs="Arial"/>
          <w:color w:val="000000"/>
          <w:sz w:val="21"/>
          <w:szCs w:val="21"/>
        </w:rPr>
        <w:t> противодействия коррупции на 2018 - 2020 годы.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7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Рекомендовать: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8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9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реализацию предусмотренных им мероприятий и внесение изменений в региональные антикоррупционные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программы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Доклады о результатах исполнения </w:t>
      </w:r>
      <w:hyperlink r:id="rId10" w:anchor="3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пункта 3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Установить, что доклады о результатах исполнения настоящего Указа и выполнения </w:t>
      </w:r>
      <w:hyperlink r:id="rId11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Национального плана</w:t>
        </w:r>
      </w:hyperlink>
      <w:r>
        <w:rPr>
          <w:rFonts w:ascii="Arial" w:hAnsi="Arial" w:cs="Arial"/>
          <w:color w:val="000000"/>
          <w:sz w:val="21"/>
          <w:szCs w:val="21"/>
        </w:rPr>
        <w:t> (далее - доклады) представляются: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даты представления докладов;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иными федеральными государственными органами и организациями - Президенту Российской Федерации;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даты представления докладов;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4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даты представления докладов.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даты представления докладов;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6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даты представления докладов.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7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даты представления докладов.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Президиуму Совета при Президенте Российской Федерации по противодействию коррупции: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образовать рабочую группу по мониторингу реализации мероприятий, предусмотренных </w:t>
      </w:r>
      <w:hyperlink r:id="rId18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 противодействия коррупции на 2018 - 2020 годы;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рассматривать ежегодно доклад рабочей группы, названной в </w:t>
      </w:r>
      <w:hyperlink r:id="rId19" w:anchor="61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подпункте "а"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пункта, о реализации за отчетный период мероприятий, предусмотренных </w:t>
      </w:r>
      <w:hyperlink r:id="rId20" w:anchor="100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237"/>
      </w:tblGrid>
      <w:tr w:rsidR="00EC31AA" w:rsidTr="00EC31AA">
        <w:tc>
          <w:tcPr>
            <w:tcW w:w="2500" w:type="pct"/>
            <w:hideMark/>
          </w:tcPr>
          <w:p w:rsidR="00EC31AA" w:rsidRDefault="00EC31AA">
            <w:pPr>
              <w:rPr>
                <w:sz w:val="24"/>
                <w:szCs w:val="24"/>
              </w:rPr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C31AA" w:rsidRDefault="00EC31AA">
            <w:pPr>
              <w:rPr>
                <w:sz w:val="24"/>
                <w:szCs w:val="24"/>
              </w:rPr>
            </w:pPr>
            <w:r>
              <w:t>В. Путин</w:t>
            </w:r>
          </w:p>
        </w:tc>
      </w:tr>
    </w:tbl>
    <w:p w:rsidR="00EC31AA" w:rsidRDefault="00EC31AA" w:rsidP="00EC31AA">
      <w:pPr>
        <w:pStyle w:val="toleft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Москва, Кремль</w:t>
      </w:r>
    </w:p>
    <w:p w:rsidR="00EC31AA" w:rsidRDefault="00EC31AA" w:rsidP="00EC31AA">
      <w:pPr>
        <w:pStyle w:val="toleft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июня 2018 года</w:t>
      </w:r>
    </w:p>
    <w:p w:rsidR="00EC31AA" w:rsidRDefault="00EC31AA" w:rsidP="00EC31AA">
      <w:pPr>
        <w:pStyle w:val="toleft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378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1" w:anchor="0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Указом</w:t>
        </w:r>
      </w:hyperlink>
      <w:r>
        <w:rPr>
          <w:rFonts w:ascii="Arial" w:hAnsi="Arial" w:cs="Arial"/>
          <w:color w:val="000000"/>
          <w:sz w:val="21"/>
          <w:szCs w:val="21"/>
        </w:rPr>
        <w:t> Президента</w:t>
      </w:r>
      <w:r>
        <w:rPr>
          <w:rFonts w:ascii="Arial" w:hAnsi="Arial" w:cs="Arial"/>
          <w:color w:val="000000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000000"/>
          <w:sz w:val="21"/>
          <w:szCs w:val="21"/>
        </w:rPr>
        <w:br/>
        <w:t>от 29 июня 2018 г. № 378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Национальный план</w:t>
      </w:r>
      <w:r>
        <w:rPr>
          <w:rFonts w:ascii="Arial" w:hAnsi="Arial" w:cs="Arial"/>
          <w:color w:val="333333"/>
          <w:sz w:val="26"/>
          <w:szCs w:val="26"/>
        </w:rPr>
        <w:br/>
        <w:t>противодействия коррупции на 2018 - 2020 годы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совершенствование системы запретов, ограничений и требований, установленных в целях противодействия коррупции;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совершенствование предусмотренных Федеральным законом от 3 декабря 2012 г. № 230-ФЗ "О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Правительству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до 1 октября 2018 г. разработать и утвердить: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методику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оценки планов противодействия коррупции федеральных государственных органов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совершенствование в целях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противодействия коррупции порядка получения подарков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отдельными категориями лиц;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 применении взыскания.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повышение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эффективности деятельности органов субъектов Российской Федерации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Доклад о результатах исполнения настоящего подпункта представить до 1 декабря 2018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Доклад о результатах исполнения настоящего пункта представить до 1 сентября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Правительству Российской Федерации с участием Генеральной прокуратуры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подпункта представить до 1 ноября 2019 г.;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июля 2019 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сентября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15 марта.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 </w:t>
      </w:r>
      <w:hyperlink r:id="rId22" w:anchor="1151" w:history="1">
        <w:r>
          <w:rPr>
            <w:rStyle w:val="a9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подпунктов "а" - "д"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пункта представить до 1 июля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подпункта представить до 1 февраля 2019 г.;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м) установления административной ответственности: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нужд");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непривлечении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подпункта представить до 1 марта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н) усиления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которая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IV. Совершенствование порядка осуществления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rPr>
          <w:rFonts w:ascii="Arial" w:hAnsi="Arial" w:cs="Arial"/>
          <w:color w:val="333333"/>
          <w:sz w:val="26"/>
          <w:szCs w:val="26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Правительству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доходах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подпункта представить до 1 декабря 2018 г.;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ноября 2018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октября 2018 г.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Правительству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Итоговый доклад представить до 1 декабря 2020 г.;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Доклад о результатах исполнения настоящего подпункта представить до 1 июля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выявления личной заинтересованности (в том числе скрытой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аффилированности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повышения эффективности противодействия коррупции в сфере бизнеса;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совершенствования порядка осуществления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использования современных технологий в работе по противодействию коррупции;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октября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марта.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октября 2018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Доклад о результатах исполнения настоящего пункта представить до 1 апреля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отношения к данному явлению.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декабря 2018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ноября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Правительству Российской Федерации с участием Генеральной прокуратуры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мая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представить до 1 октября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 Генеральной прокуратуре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разыскных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Доклад о результатах исполнения настоящего подпункта представить до 1 ноября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36. Рекомендовать Торгово-промышленной палате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комплаенса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Доклад о результатах исполнения настоящего подпункта представлять ежегодно, до 15 декабря.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37. Правительству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долями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39. Генеральной прокуратуре Российской Федерации: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C31AA" w:rsidRDefault="00EC31AA" w:rsidP="00EC31AA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>
        <w:rPr>
          <w:rFonts w:ascii="Arial" w:hAnsi="Arial" w:cs="Arial"/>
          <w:color w:val="333333"/>
          <w:sz w:val="26"/>
          <w:szCs w:val="26"/>
        </w:rPr>
        <w:br/>
        <w:t>Укрепление международного авторитета России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отив коррупции и функционировании обзорного механизма Конвенции ООН против коррупции.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транспарентности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</w:t>
      </w:r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EC31AA" w:rsidRDefault="00EC31AA" w:rsidP="00EC31AA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Доклад о результатах исполнения настоящего пункта представлять ежегодно, до 1 февраля.</w:t>
      </w:r>
    </w:p>
    <w:p w:rsidR="004F5713" w:rsidRPr="004F5713" w:rsidRDefault="004F5713" w:rsidP="00EC31AA">
      <w:pPr>
        <w:rPr>
          <w:rFonts w:ascii="Times New Roman" w:hAnsi="Times New Roman" w:cs="Times New Roman"/>
          <w:sz w:val="24"/>
          <w:szCs w:val="24"/>
        </w:rPr>
      </w:pPr>
      <w:bookmarkStart w:id="2" w:name="review"/>
      <w:bookmarkEnd w:id="2"/>
    </w:p>
    <w:sectPr w:rsidR="004F5713" w:rsidRPr="004F5713" w:rsidSect="00851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134"/>
    <w:multiLevelType w:val="hybridMultilevel"/>
    <w:tmpl w:val="32A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4351"/>
    <w:multiLevelType w:val="multilevel"/>
    <w:tmpl w:val="5E4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7CBD"/>
    <w:multiLevelType w:val="hybridMultilevel"/>
    <w:tmpl w:val="0A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A4D"/>
    <w:multiLevelType w:val="multilevel"/>
    <w:tmpl w:val="12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17EF"/>
    <w:multiLevelType w:val="multilevel"/>
    <w:tmpl w:val="E3F2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24776"/>
    <w:multiLevelType w:val="hybridMultilevel"/>
    <w:tmpl w:val="3BF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A"/>
    <w:rsid w:val="00266599"/>
    <w:rsid w:val="00320652"/>
    <w:rsid w:val="004F5713"/>
    <w:rsid w:val="005067E6"/>
    <w:rsid w:val="00600B2E"/>
    <w:rsid w:val="006524CD"/>
    <w:rsid w:val="00685779"/>
    <w:rsid w:val="006A05BA"/>
    <w:rsid w:val="007C1FB5"/>
    <w:rsid w:val="00811219"/>
    <w:rsid w:val="008517FE"/>
    <w:rsid w:val="00924EBE"/>
    <w:rsid w:val="00985A9B"/>
    <w:rsid w:val="00A61D85"/>
    <w:rsid w:val="00C91863"/>
    <w:rsid w:val="00CF618A"/>
    <w:rsid w:val="00D26598"/>
    <w:rsid w:val="00DC0FD9"/>
    <w:rsid w:val="00EC31AA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qFormat/>
    <w:rsid w:val="00FA482B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85779"/>
    <w:rPr>
      <w:b/>
      <w:bCs/>
    </w:rPr>
  </w:style>
  <w:style w:type="paragraph" w:styleId="a6">
    <w:name w:val="No Spacing"/>
    <w:link w:val="a7"/>
    <w:uiPriority w:val="1"/>
    <w:qFormat/>
    <w:rsid w:val="006857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31"/>
    <w:rsid w:val="006A05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6A05BA"/>
    <w:pPr>
      <w:widowControl w:val="0"/>
      <w:shd w:val="clear" w:color="auto" w:fill="FFFFFF"/>
      <w:spacing w:before="480" w:after="0" w:line="3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Без интервала Знак"/>
    <w:basedOn w:val="a0"/>
    <w:link w:val="a6"/>
    <w:uiPriority w:val="1"/>
    <w:rsid w:val="006A05BA"/>
  </w:style>
  <w:style w:type="character" w:styleId="a9">
    <w:name w:val="Hyperlink"/>
    <w:basedOn w:val="a0"/>
    <w:uiPriority w:val="99"/>
    <w:semiHidden/>
    <w:unhideWhenUsed/>
    <w:rsid w:val="00EC31AA"/>
    <w:rPr>
      <w:color w:val="0000FF"/>
      <w:u w:val="single"/>
    </w:rPr>
  </w:style>
  <w:style w:type="paragraph" w:customStyle="1" w:styleId="toleft">
    <w:name w:val="toleft"/>
    <w:basedOn w:val="a"/>
    <w:rsid w:val="00E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qFormat/>
    <w:rsid w:val="00FA482B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85779"/>
    <w:rPr>
      <w:b/>
      <w:bCs/>
    </w:rPr>
  </w:style>
  <w:style w:type="paragraph" w:styleId="a6">
    <w:name w:val="No Spacing"/>
    <w:link w:val="a7"/>
    <w:uiPriority w:val="1"/>
    <w:qFormat/>
    <w:rsid w:val="006857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31"/>
    <w:rsid w:val="006A05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6A05BA"/>
    <w:pPr>
      <w:widowControl w:val="0"/>
      <w:shd w:val="clear" w:color="auto" w:fill="FFFFFF"/>
      <w:spacing w:before="480" w:after="0" w:line="3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Без интервала Знак"/>
    <w:basedOn w:val="a0"/>
    <w:link w:val="a6"/>
    <w:uiPriority w:val="1"/>
    <w:rsid w:val="006A05BA"/>
  </w:style>
  <w:style w:type="character" w:styleId="a9">
    <w:name w:val="Hyperlink"/>
    <w:basedOn w:val="a0"/>
    <w:uiPriority w:val="99"/>
    <w:semiHidden/>
    <w:unhideWhenUsed/>
    <w:rsid w:val="00EC31AA"/>
    <w:rPr>
      <w:color w:val="0000FF"/>
      <w:u w:val="single"/>
    </w:rPr>
  </w:style>
  <w:style w:type="paragraph" w:customStyle="1" w:styleId="toleft">
    <w:name w:val="toleft"/>
    <w:basedOn w:val="a"/>
    <w:rsid w:val="00E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hyperlink" Target="http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2018-01-25T14:49:00Z</cp:lastPrinted>
  <dcterms:created xsi:type="dcterms:W3CDTF">2018-12-07T12:59:00Z</dcterms:created>
  <dcterms:modified xsi:type="dcterms:W3CDTF">2018-12-07T12:59:00Z</dcterms:modified>
</cp:coreProperties>
</file>