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724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5 декабря 2014 г. N 1547</w:t>
        </w:r>
        <w:r>
          <w:rPr>
            <w:rStyle w:val="a4"/>
            <w:b w:val="0"/>
            <w:bCs w:val="0"/>
          </w:rPr>
          <w:br/>
          <w:t>"Об утверждении показателей, характеризующих общие критерии оценки кач</w:t>
        </w:r>
        <w:r>
          <w:rPr>
            <w:rStyle w:val="a4"/>
            <w:b w:val="0"/>
            <w:bCs w:val="0"/>
          </w:rPr>
          <w:t>ества образовательной деятельности организаций, осуществляющих образовательную деятельность"</w:t>
        </w:r>
      </w:hyperlink>
    </w:p>
    <w:p w:rsidR="00000000" w:rsidRDefault="00A2724A"/>
    <w:p w:rsidR="00000000" w:rsidRDefault="00A2724A">
      <w:r>
        <w:t xml:space="preserve">В соответствии с </w:t>
      </w:r>
      <w:hyperlink r:id="rId5" w:history="1">
        <w:r>
          <w:rPr>
            <w:rStyle w:val="a4"/>
          </w:rPr>
          <w:t>частью 5 статьи 95.2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2326, N 23, ст. 2878, N 27, ст. 3462, N30, ст. 4036, N 48, ст. 6165; 2014, N 6, ст. 562, ст. 566, N 19, ст. 2289, N 22, ст</w:t>
      </w:r>
      <w:r>
        <w:t>. 2769, N 23, ст. 2933, N 26, ст. 3388, N 30, ст. 4257, N 30, ст. 4263) приказываю:</w:t>
      </w:r>
    </w:p>
    <w:p w:rsidR="00000000" w:rsidRDefault="00A2724A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</w:t>
      </w:r>
      <w:r>
        <w:t>азовательную деятельность.</w:t>
      </w:r>
    </w:p>
    <w:bookmarkEnd w:id="0"/>
    <w:p w:rsidR="00000000" w:rsidRDefault="00A2724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724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724A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A2724A"/>
    <w:p w:rsidR="00000000" w:rsidRDefault="00A2724A">
      <w:pPr>
        <w:pStyle w:val="afff2"/>
      </w:pPr>
      <w:r>
        <w:t>Зарегистрировано в Минюсте РФ 2 февраля 2015 г.</w:t>
      </w:r>
      <w:r>
        <w:br/>
        <w:t>Регистрационный N 35837</w:t>
      </w:r>
    </w:p>
    <w:p w:rsidR="00000000" w:rsidRDefault="00A2724A"/>
    <w:p w:rsidR="00000000" w:rsidRDefault="00A2724A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A2724A"/>
    <w:p w:rsidR="00000000" w:rsidRDefault="00A2724A">
      <w:pPr>
        <w:pStyle w:val="1"/>
      </w:pPr>
      <w:r>
        <w:t>Показатели,</w:t>
      </w:r>
      <w:r>
        <w:br/>
        <w:t>характеризующие общие критерии оценки качества образовательной деятельности организаций</w:t>
      </w:r>
      <w:r>
        <w:t>, осуществляющих образовательную деятельность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5 декабря 2014 г. N 1547)</w:t>
      </w:r>
    </w:p>
    <w:p w:rsidR="00000000" w:rsidRDefault="00A272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Единица измерения (значение показателя)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2" w:name="sub_1001"/>
            <w:r>
              <w:t>I.</w:t>
            </w:r>
            <w:bookmarkEnd w:id="2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3" w:name="sub_1011"/>
            <w:r>
              <w:t>1.1.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</w:t>
            </w:r>
            <w:r>
              <w:t xml:space="preserve">) (для государственных (муниципальных) организаций - информации, размещенной, в том числе на </w:t>
            </w:r>
            <w:r>
              <w:lastRenderedPageBreak/>
              <w:t xml:space="preserve">официальном сайте в сети Интернет </w:t>
            </w:r>
            <w:hyperlink r:id="rId6" w:history="1">
              <w:r>
                <w:rPr>
                  <w:rStyle w:val="a4"/>
                </w:rPr>
                <w:t>www.bus.gov.ru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lastRenderedPageBreak/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4" w:name="sub_1012"/>
            <w:r>
              <w:lastRenderedPageBreak/>
              <w:t>1.2.</w:t>
            </w:r>
            <w:bookmarkEnd w:id="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5" w:name="sub_1013"/>
            <w:r>
              <w:t>1.3.</w:t>
            </w:r>
            <w:bookmarkEnd w:id="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 xml:space="preserve">Доступность взаимодействия с получателями образовательных услуг по телефону, по электронной почте, с помощью </w:t>
            </w:r>
            <w:r>
              <w:t>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6" w:name="sub_1014"/>
            <w:r>
              <w:t>1.4.</w:t>
            </w:r>
            <w:bookmarkEnd w:id="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 xml:space="preserve">Доступность сведений о ходе </w:t>
            </w:r>
            <w:r>
              <w:t>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7" w:name="sub_1002"/>
            <w:r>
              <w:t>II.</w:t>
            </w:r>
            <w:bookmarkEnd w:id="7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8" w:name="sub_1021"/>
            <w:r>
              <w:t>2.1.</w:t>
            </w:r>
            <w:bookmarkEnd w:id="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Материально-техническое и информационное обеспечение организации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9" w:name="sub_1022"/>
            <w:r>
              <w:t>2.2.</w:t>
            </w:r>
            <w:bookmarkEnd w:id="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Наличие необходимых условий для охраны и укрепления здоровья, организации питания обучающихся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0" w:name="sub_1023"/>
            <w:r>
              <w:t>2.3.</w:t>
            </w:r>
            <w:bookmarkEnd w:id="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Условия для индивидуальной работы с обучающимися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1" w:name="sub_1024"/>
            <w:r>
              <w:t>2.4.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Наличие дополнительных образовательных программ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2" w:name="sub_1025"/>
            <w:r>
              <w:t>2.5.</w:t>
            </w:r>
            <w:bookmarkEnd w:id="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Нал</w:t>
            </w:r>
            <w:r>
              <w:t>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</w:t>
            </w:r>
            <w:r>
              <w:t>ициальных спортивных соревнованиях, и других массовых мероприятиях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3" w:name="sub_1026"/>
            <w:r>
              <w:t>2.6.</w:t>
            </w:r>
            <w:bookmarkEnd w:id="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4" w:name="sub_1027"/>
            <w:r>
              <w:t>2.7.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 xml:space="preserve">Наличие условий организации обучения и воспитания обучающихся с ограниченными </w:t>
            </w:r>
            <w:r>
              <w:lastRenderedPageBreak/>
              <w:t>возможностями здоровья и инвалидов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lastRenderedPageBreak/>
              <w:t>Баллы (от 0 до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5" w:name="sub_1003"/>
            <w:r>
              <w:lastRenderedPageBreak/>
              <w:t>III.</w:t>
            </w:r>
            <w:bookmarkEnd w:id="1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Показатели, характеризующи</w:t>
            </w:r>
            <w:r>
              <w:t>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6" w:name="sub_1031"/>
            <w:r>
              <w:t>3.1.</w:t>
            </w:r>
            <w:bookmarkEnd w:id="1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Проценты (от 0 до 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7" w:name="sub_1032"/>
            <w:r>
              <w:t>3.2.</w:t>
            </w:r>
            <w:bookmarkEnd w:id="1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Проценты (от 0 до 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8" w:name="sub_1004"/>
            <w:r>
              <w:t>IV.</w:t>
            </w:r>
            <w:bookmarkEnd w:id="18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Показатели, характеризующие общий критерий оценки качес</w:t>
            </w:r>
            <w:r>
              <w:t>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19" w:name="sub_1041"/>
            <w:r>
              <w:t>4.1.</w:t>
            </w:r>
            <w:bookmarkEnd w:id="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Доля пол</w:t>
            </w:r>
            <w:r>
              <w:t>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Проценты (от 0 до 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20" w:name="sub_1042"/>
            <w:r>
              <w:t>4.2.</w:t>
            </w:r>
            <w:bookmarkEnd w:id="2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Проценты (от 0 до 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bookmarkStart w:id="21" w:name="sub_1043"/>
            <w:r>
              <w:t>4.3.</w:t>
            </w:r>
            <w:bookmarkEnd w:id="2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24A">
            <w:pPr>
              <w:pStyle w:val="afff2"/>
            </w:pPr>
            <w:r>
              <w:t>Доля получателей образовательных услуг, котор</w:t>
            </w:r>
            <w:r>
              <w:t>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724A">
            <w:pPr>
              <w:pStyle w:val="aff9"/>
              <w:jc w:val="center"/>
            </w:pPr>
            <w:r>
              <w:t>Проценты (от 0 до 100)</w:t>
            </w:r>
          </w:p>
        </w:tc>
      </w:tr>
    </w:tbl>
    <w:p w:rsidR="00000000" w:rsidRDefault="00A2724A"/>
    <w:p w:rsidR="00000000" w:rsidRDefault="00A2724A">
      <w:bookmarkStart w:id="22" w:name="sub_1111"/>
      <w:r>
        <w:t>* Общие критерии оценки качества образовательной деятельности организаций, осуществляющих образовате</w:t>
      </w:r>
      <w:r>
        <w:t xml:space="preserve">льную деятельность, предусмотрены </w:t>
      </w:r>
      <w:hyperlink r:id="rId7" w:history="1">
        <w:r>
          <w:rPr>
            <w:rStyle w:val="a4"/>
          </w:rPr>
          <w:t>частью 4 статьи 95.2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</w:t>
      </w:r>
      <w:r>
        <w:t>ии, 2012, N 53, ст. 7598; 2013, N 19, ст. 2326, N 23, ст. 2878, N 27, ст. 3462, N 30, ст. 4036, N 48, ст. 6165; 2014, N 6, ст. 562, ст. 566, N 19, ст. 2289, N 22, ст. 2769, N 23, ст. 2933, N 26, ст. 3388, N 30, ст. 4257, N 30, ст. 4263).</w:t>
      </w:r>
    </w:p>
    <w:p w:rsidR="00000000" w:rsidRDefault="00A2724A">
      <w:bookmarkStart w:id="23" w:name="sub_2222"/>
      <w:bookmarkEnd w:id="22"/>
      <w:r>
        <w:t>**</w:t>
      </w:r>
      <w:r>
        <w:t xml:space="preserve"> Показатель применяется с учетом особенностей осуществляемой образовательной деятельности организации.</w:t>
      </w:r>
    </w:p>
    <w:bookmarkEnd w:id="23"/>
    <w:p w:rsidR="00A2724A" w:rsidRDefault="00A2724A"/>
    <w:sectPr w:rsidR="00A2724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62D8"/>
    <w:rsid w:val="00A2724A"/>
    <w:rsid w:val="00A9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9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90941&amp;sub=13378" TargetMode="External"/><Relationship Id="rId5" Type="http://schemas.openxmlformats.org/officeDocument/2006/relationships/hyperlink" Target="http://ivo.garant.ru/document?id=70191362&amp;sub=9525" TargetMode="External"/><Relationship Id="rId4" Type="http://schemas.openxmlformats.org/officeDocument/2006/relationships/hyperlink" Target="http://ivo.garant.ru/document?id=70759410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>НПП "Гарант-Сервис"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10101</cp:lastModifiedBy>
  <cp:revision>2</cp:revision>
  <dcterms:created xsi:type="dcterms:W3CDTF">2017-04-04T08:21:00Z</dcterms:created>
  <dcterms:modified xsi:type="dcterms:W3CDTF">2017-04-04T08:21:00Z</dcterms:modified>
</cp:coreProperties>
</file>